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47" w:rsidRPr="00E72659" w:rsidRDefault="00E72659">
      <w:pPr>
        <w:adjustRightInd w:val="0"/>
        <w:snapToGrid w:val="0"/>
        <w:spacing w:line="570" w:lineRule="exact"/>
        <w:rPr>
          <w:rFonts w:eastAsia="仿宋_GB2312"/>
          <w:b/>
          <w:kern w:val="0"/>
          <w:sz w:val="32"/>
          <w:szCs w:val="32"/>
        </w:rPr>
      </w:pPr>
      <w:r w:rsidRPr="00E72659">
        <w:rPr>
          <w:rFonts w:eastAsia="仿宋_GB2312" w:hint="eastAsia"/>
          <w:b/>
          <w:kern w:val="0"/>
          <w:sz w:val="32"/>
          <w:szCs w:val="32"/>
        </w:rPr>
        <w:t>附</w:t>
      </w:r>
      <w:r w:rsidR="00060B5F" w:rsidRPr="00E72659">
        <w:rPr>
          <w:rFonts w:eastAsia="仿宋_GB2312" w:hint="eastAsia"/>
          <w:b/>
          <w:kern w:val="0"/>
          <w:sz w:val="32"/>
          <w:szCs w:val="32"/>
        </w:rPr>
        <w:t>件</w:t>
      </w:r>
      <w:r w:rsidR="00060B5F" w:rsidRPr="00E72659">
        <w:rPr>
          <w:rFonts w:eastAsia="仿宋_GB2312" w:hint="eastAsia"/>
          <w:b/>
          <w:kern w:val="0"/>
          <w:sz w:val="32"/>
          <w:szCs w:val="32"/>
        </w:rPr>
        <w:t>2</w:t>
      </w:r>
    </w:p>
    <w:p w:rsidR="00E72659" w:rsidRDefault="00060B5F" w:rsidP="00E72659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eastAsia="方正小标宋简体"/>
          <w:bCs/>
          <w:snapToGrid w:val="0"/>
          <w:kern w:val="0"/>
          <w:sz w:val="44"/>
          <w:szCs w:val="44"/>
        </w:rPr>
        <w:t>202</w:t>
      </w:r>
      <w:r>
        <w:rPr>
          <w:rFonts w:eastAsia="方正小标宋简体" w:hint="eastAsia"/>
          <w:bCs/>
          <w:snapToGrid w:val="0"/>
          <w:kern w:val="0"/>
          <w:sz w:val="44"/>
          <w:szCs w:val="44"/>
        </w:rPr>
        <w:t>5</w:t>
      </w:r>
      <w:r>
        <w:rPr>
          <w:rFonts w:eastAsia="方正小标宋简体"/>
          <w:bCs/>
          <w:snapToGrid w:val="0"/>
          <w:kern w:val="0"/>
          <w:sz w:val="44"/>
          <w:szCs w:val="44"/>
        </w:rPr>
        <w:t>年度上海学校共青团工作研究</w:t>
      </w:r>
    </w:p>
    <w:p w:rsidR="00ED4B47" w:rsidRDefault="00060B5F" w:rsidP="00E72659">
      <w:pPr>
        <w:adjustRightInd w:val="0"/>
        <w:snapToGrid w:val="0"/>
        <w:spacing w:line="570" w:lineRule="exact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bCs/>
          <w:snapToGrid w:val="0"/>
          <w:kern w:val="0"/>
          <w:sz w:val="44"/>
          <w:szCs w:val="44"/>
        </w:rPr>
        <w:t>参考选题</w:t>
      </w:r>
    </w:p>
    <w:p w:rsidR="00ED4B47" w:rsidRDefault="00ED4B47">
      <w:pPr>
        <w:pStyle w:val="aa"/>
        <w:adjustRightInd w:val="0"/>
        <w:snapToGrid w:val="0"/>
        <w:spacing w:line="570" w:lineRule="exact"/>
        <w:ind w:firstLine="640"/>
        <w:rPr>
          <w:rFonts w:eastAsia="仿宋_GB2312"/>
          <w:kern w:val="0"/>
          <w:sz w:val="32"/>
          <w:szCs w:val="32"/>
        </w:rPr>
      </w:pP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中国共产党理论武装青年的历史传统与创新路径研究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加强青少年爱国主义法治教育的有效路径研究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青年理想信念教育的路径探索与创新</w:t>
      </w:r>
      <w:r>
        <w:rPr>
          <w:rFonts w:eastAsia="仿宋_GB2312" w:hint="eastAsia"/>
          <w:sz w:val="32"/>
          <w:szCs w:val="32"/>
        </w:rPr>
        <w:t>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4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推动共青团高质量参与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思政课实践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教学研究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5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加强青年学生理论学习与思想引领的有效路径研究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6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青年理想信念教育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与“第二个结合”</w:t>
      </w:r>
      <w:r>
        <w:rPr>
          <w:rFonts w:ascii="仿宋_GB2312" w:eastAsia="仿宋_GB2312" w:hAnsi="仿宋_GB2312" w:cs="仿宋_GB2312" w:hint="eastAsia"/>
          <w:sz w:val="32"/>
          <w:szCs w:val="32"/>
        </w:rPr>
        <w:t>的深度融合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7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共青团协同加强青年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思政课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教师队伍建设机制和策略研究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8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面向青年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阐释</w:t>
      </w:r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党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的创新理论基本问题研究</w:t>
      </w:r>
    </w:p>
    <w:p w:rsidR="00ED4B47" w:rsidRDefault="00060B5F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志愿实践活动与青年理想信念培育教育融合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</w:t>
      </w:r>
      <w:r>
        <w:rPr>
          <w:rFonts w:eastAsia="仿宋_GB2312"/>
          <w:bCs/>
          <w:snapToGrid w:val="0"/>
          <w:kern w:val="0"/>
          <w:sz w:val="32"/>
          <w:szCs w:val="32"/>
        </w:rPr>
        <w:t>0</w:t>
      </w:r>
      <w:r>
        <w:rPr>
          <w:rFonts w:eastAsia="仿宋_GB2312"/>
          <w:bCs/>
          <w:snapToGrid w:val="0"/>
          <w:kern w:val="0"/>
          <w:sz w:val="32"/>
          <w:szCs w:val="32"/>
        </w:rPr>
        <w:t>.00</w:t>
      </w:r>
      <w:proofErr w:type="gramStart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后青年</w:t>
      </w:r>
      <w:proofErr w:type="gramEnd"/>
      <w:r>
        <w:rPr>
          <w:rFonts w:ascii="仿宋_GB2312" w:eastAsia="仿宋_GB2312" w:hAnsi="仿宋_GB2312" w:cs="仿宋_GB2312" w:hint="eastAsia"/>
          <w:bCs/>
          <w:snapToGrid w:val="0"/>
          <w:kern w:val="0"/>
          <w:sz w:val="32"/>
          <w:szCs w:val="32"/>
        </w:rPr>
        <w:t>思想政治引领的特征和机理研究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培养爱党爱国爱社会主义相统一的青年</w:t>
      </w:r>
      <w:r>
        <w:rPr>
          <w:rFonts w:eastAsia="仿宋_GB2312" w:hint="eastAsia"/>
          <w:sz w:val="32"/>
          <w:szCs w:val="32"/>
        </w:rPr>
        <w:t>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校园文化与青年爱国主义教育相互促进的路径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13.</w:t>
      </w:r>
      <w:r>
        <w:rPr>
          <w:rFonts w:eastAsia="仿宋_GB2312"/>
          <w:sz w:val="32"/>
          <w:szCs w:val="32"/>
        </w:rPr>
        <w:t>新媒体平台在青年爱国主义教育中的创新应用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14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党团队一体化建设的理论与实践路径研究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15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当前影响青年的主要网络思潮及其引领策略研究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</w:t>
      </w:r>
      <w:r>
        <w:rPr>
          <w:rFonts w:eastAsia="仿宋_GB2312"/>
          <w:bCs/>
          <w:snapToGrid w:val="0"/>
          <w:kern w:val="0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铸牢青少年中华民族共同体意识的教育路径研究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青年在中国式现代化道路上的成长轨迹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18.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青年参与上海市“五个中心”建设研究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青年在高质量发展进程中的创新与实践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培养具有创新精神和实践能力的青年人才</w:t>
      </w:r>
      <w:r>
        <w:rPr>
          <w:rFonts w:eastAsia="仿宋_GB2312"/>
          <w:sz w:val="32"/>
          <w:szCs w:val="32"/>
        </w:rPr>
        <w:t>的机制与路径研究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青年科技创新助力乡村振兴的路径研究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22.</w:t>
      </w:r>
      <w:r>
        <w:rPr>
          <w:rFonts w:eastAsia="仿宋_GB2312"/>
          <w:sz w:val="32"/>
          <w:szCs w:val="32"/>
        </w:rPr>
        <w:t>跨学科青年科技创新团队的优势与挑战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23.</w:t>
      </w:r>
      <w:r>
        <w:rPr>
          <w:rFonts w:eastAsia="仿宋_GB2312"/>
          <w:sz w:val="32"/>
          <w:szCs w:val="32"/>
        </w:rPr>
        <w:t>推动青年科技成果转化与应用的研究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24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青年参与乡村振兴的路径研究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25.</w:t>
      </w:r>
      <w:r>
        <w:rPr>
          <w:rFonts w:eastAsia="仿宋_GB2312"/>
          <w:sz w:val="32"/>
          <w:szCs w:val="32"/>
        </w:rPr>
        <w:t>全过程人民民主的青年实践机制与路径研究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26.</w:t>
      </w:r>
      <w:r>
        <w:rPr>
          <w:rFonts w:eastAsia="仿宋_GB2312"/>
          <w:sz w:val="32"/>
          <w:szCs w:val="32"/>
        </w:rPr>
        <w:t>深</w:t>
      </w:r>
      <w:r>
        <w:rPr>
          <w:rFonts w:eastAsia="仿宋_GB2312"/>
          <w:sz w:val="32"/>
          <w:szCs w:val="32"/>
        </w:rPr>
        <w:t>化</w:t>
      </w:r>
      <w:r>
        <w:rPr>
          <w:rFonts w:eastAsia="仿宋_GB2312"/>
          <w:sz w:val="32"/>
          <w:szCs w:val="32"/>
        </w:rPr>
        <w:t>城镇化建设</w:t>
      </w:r>
      <w:r>
        <w:rPr>
          <w:rFonts w:eastAsia="仿宋_GB2312"/>
          <w:sz w:val="32"/>
          <w:szCs w:val="32"/>
        </w:rPr>
        <w:t>背景下</w:t>
      </w:r>
      <w:r>
        <w:rPr>
          <w:rFonts w:eastAsia="仿宋_GB2312"/>
          <w:sz w:val="32"/>
          <w:szCs w:val="32"/>
        </w:rPr>
        <w:t>青年群体的发展趋势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27.</w:t>
      </w:r>
      <w:r>
        <w:rPr>
          <w:rFonts w:eastAsia="仿宋_GB2312"/>
          <w:sz w:val="32"/>
          <w:szCs w:val="32"/>
        </w:rPr>
        <w:t>青年</w:t>
      </w:r>
      <w:proofErr w:type="gramStart"/>
      <w:r>
        <w:rPr>
          <w:rFonts w:eastAsia="仿宋_GB2312"/>
          <w:sz w:val="32"/>
          <w:szCs w:val="32"/>
        </w:rPr>
        <w:t>普法宣法与</w:t>
      </w:r>
      <w:proofErr w:type="gramEnd"/>
      <w:r>
        <w:rPr>
          <w:rFonts w:eastAsia="仿宋_GB2312"/>
          <w:sz w:val="32"/>
          <w:szCs w:val="32"/>
        </w:rPr>
        <w:t>城市法治建设的有效衔接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28.</w:t>
      </w:r>
      <w:r>
        <w:rPr>
          <w:rFonts w:eastAsia="仿宋_GB2312"/>
          <w:sz w:val="32"/>
          <w:szCs w:val="32"/>
        </w:rPr>
        <w:t>激发青年对城市建设创新性与主动性的路径研究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29.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青年发展型城市建设研究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30.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数智条件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下青年社会交往互动的状况及其治理研究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31.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青年典型宣传教育的方式创新研究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32</w:t>
      </w:r>
      <w:r>
        <w:rPr>
          <w:rFonts w:eastAsia="仿宋_GB2312"/>
          <w:bCs/>
          <w:snapToGrid w:val="0"/>
          <w:kern w:val="0"/>
          <w:sz w:val="32"/>
          <w:szCs w:val="32"/>
        </w:rPr>
        <w:t>.</w:t>
      </w:r>
      <w:r>
        <w:rPr>
          <w:rFonts w:eastAsia="仿宋_GB2312"/>
          <w:bCs/>
          <w:snapToGrid w:val="0"/>
          <w:kern w:val="0"/>
          <w:sz w:val="32"/>
          <w:szCs w:val="32"/>
        </w:rPr>
        <w:t>群体性孤独现象及对策研究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33.</w:t>
      </w:r>
      <w:r>
        <w:rPr>
          <w:rFonts w:eastAsia="仿宋_GB2312"/>
          <w:bCs/>
          <w:snapToGrid w:val="0"/>
          <w:kern w:val="0"/>
          <w:sz w:val="32"/>
          <w:szCs w:val="32"/>
        </w:rPr>
        <w:t>身份政治对青年的影响研究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34.</w:t>
      </w:r>
      <w:r>
        <w:rPr>
          <w:rFonts w:eastAsia="仿宋_GB2312"/>
          <w:bCs/>
          <w:snapToGrid w:val="0"/>
          <w:kern w:val="0"/>
          <w:sz w:val="32"/>
          <w:szCs w:val="32"/>
        </w:rPr>
        <w:t>青年婚育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观形成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的内在逻辑与引导策略研究</w:t>
      </w:r>
    </w:p>
    <w:p w:rsidR="00ED4B47" w:rsidRDefault="00060B5F">
      <w:pPr>
        <w:adjustRightInd w:val="0"/>
        <w:snapToGrid w:val="0"/>
        <w:spacing w:line="570" w:lineRule="exact"/>
        <w:ind w:firstLineChars="200" w:firstLine="640"/>
        <w:rPr>
          <w:rFonts w:eastAsia="仿宋_GB2312"/>
          <w:bCs/>
          <w:snapToGrid w:val="0"/>
          <w:kern w:val="0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35.</w:t>
      </w:r>
      <w:proofErr w:type="gramStart"/>
      <w:r>
        <w:rPr>
          <w:rFonts w:eastAsia="仿宋_GB2312"/>
          <w:bCs/>
          <w:snapToGrid w:val="0"/>
          <w:kern w:val="0"/>
          <w:sz w:val="32"/>
          <w:szCs w:val="32"/>
        </w:rPr>
        <w:t>双非院系</w:t>
      </w:r>
      <w:proofErr w:type="gramEnd"/>
      <w:r>
        <w:rPr>
          <w:rFonts w:eastAsia="仿宋_GB2312"/>
          <w:bCs/>
          <w:snapToGrid w:val="0"/>
          <w:kern w:val="0"/>
          <w:sz w:val="32"/>
          <w:szCs w:val="32"/>
        </w:rPr>
        <w:t>大学生就业困境与支持路径研究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36.</w:t>
      </w:r>
      <w:r>
        <w:rPr>
          <w:rFonts w:eastAsia="仿宋_GB2312"/>
          <w:sz w:val="32"/>
          <w:szCs w:val="32"/>
        </w:rPr>
        <w:t>共青团促进大学生体育运动的路径研究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bCs/>
          <w:snapToGrid w:val="0"/>
          <w:kern w:val="0"/>
          <w:sz w:val="32"/>
          <w:szCs w:val="32"/>
        </w:rPr>
        <w:t>37.</w:t>
      </w:r>
      <w:r>
        <w:rPr>
          <w:rFonts w:eastAsia="仿宋_GB2312"/>
          <w:sz w:val="32"/>
          <w:szCs w:val="32"/>
        </w:rPr>
        <w:t>网络治理中青年群体担任角色现状与未来研究</w:t>
      </w:r>
      <w:r>
        <w:rPr>
          <w:rFonts w:eastAsia="仿宋_GB2312"/>
          <w:sz w:val="32"/>
          <w:szCs w:val="32"/>
        </w:rPr>
        <w:t xml:space="preserve"> 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38.</w:t>
      </w:r>
      <w:r>
        <w:rPr>
          <w:rFonts w:eastAsia="仿宋_GB2312"/>
          <w:sz w:val="32"/>
          <w:szCs w:val="32"/>
        </w:rPr>
        <w:t>青年参与网络空间法治建设的创新路径与实践探索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39.</w:t>
      </w:r>
      <w:r>
        <w:rPr>
          <w:rFonts w:eastAsia="仿宋_GB2312"/>
          <w:sz w:val="32"/>
          <w:szCs w:val="32"/>
        </w:rPr>
        <w:t>青年网络媒介素养与网络治理能力提升路径研究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40.</w:t>
      </w:r>
      <w:r>
        <w:rPr>
          <w:rFonts w:eastAsia="仿宋_GB2312"/>
          <w:sz w:val="32"/>
          <w:szCs w:val="32"/>
        </w:rPr>
        <w:t>青年拓展全球视野加深国际理解的路径</w:t>
      </w:r>
      <w:r>
        <w:rPr>
          <w:rFonts w:eastAsia="仿宋_GB2312"/>
          <w:sz w:val="32"/>
          <w:szCs w:val="32"/>
        </w:rPr>
        <w:t>研究</w:t>
      </w:r>
    </w:p>
    <w:p w:rsidR="00ED4B47" w:rsidRDefault="00060B5F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41.</w:t>
      </w:r>
      <w:r>
        <w:rPr>
          <w:rFonts w:eastAsia="仿宋_GB2312"/>
          <w:sz w:val="32"/>
          <w:szCs w:val="32"/>
        </w:rPr>
        <w:t>建设青年国际交流合作平台的</w:t>
      </w:r>
      <w:r>
        <w:rPr>
          <w:rFonts w:eastAsia="仿宋_GB2312"/>
          <w:sz w:val="32"/>
          <w:szCs w:val="32"/>
        </w:rPr>
        <w:t>机制与路径</w:t>
      </w:r>
      <w:r>
        <w:rPr>
          <w:rFonts w:eastAsia="仿宋_GB2312"/>
          <w:sz w:val="32"/>
          <w:szCs w:val="32"/>
        </w:rPr>
        <w:t>研究</w:t>
      </w:r>
    </w:p>
    <w:p w:rsidR="00ED4B47" w:rsidRDefault="00ED4B47">
      <w:pPr>
        <w:pStyle w:val="aa"/>
        <w:adjustRightInd w:val="0"/>
        <w:snapToGrid w:val="0"/>
        <w:spacing w:line="570" w:lineRule="exact"/>
        <w:ind w:firstLine="640"/>
        <w:rPr>
          <w:rFonts w:eastAsia="仿宋_GB2312" w:cs="仿宋_GB2312"/>
          <w:kern w:val="0"/>
          <w:sz w:val="32"/>
          <w:szCs w:val="32"/>
        </w:rPr>
      </w:pPr>
    </w:p>
    <w:p w:rsidR="00ED4B47" w:rsidRDefault="00ED4B47">
      <w:pPr>
        <w:pStyle w:val="aa"/>
        <w:adjustRightInd w:val="0"/>
        <w:snapToGrid w:val="0"/>
        <w:spacing w:line="570" w:lineRule="exact"/>
        <w:ind w:firstLine="640"/>
        <w:rPr>
          <w:rFonts w:eastAsia="仿宋_GB2312" w:cs="仿宋_GB2312"/>
          <w:kern w:val="0"/>
          <w:sz w:val="32"/>
          <w:szCs w:val="32"/>
        </w:rPr>
      </w:pPr>
    </w:p>
    <w:sectPr w:rsidR="00ED4B47" w:rsidSect="00E72659">
      <w:pgSz w:w="11907" w:h="16840"/>
      <w:pgMar w:top="2098" w:right="1474" w:bottom="1928" w:left="1587" w:header="1134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5F" w:rsidRDefault="00060B5F">
      <w:r>
        <w:separator/>
      </w:r>
    </w:p>
  </w:endnote>
  <w:endnote w:type="continuationSeparator" w:id="0">
    <w:p w:rsidR="00060B5F" w:rsidRDefault="0006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343F26A-B3A1-4C72-9BC1-F9515440BED9}"/>
    <w:embedBold r:id="rId2" w:subsetted="1" w:fontKey="{8F7E5503-10DD-441A-A1C9-E05A03B8359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5F" w:rsidRDefault="00060B5F">
      <w:r>
        <w:separator/>
      </w:r>
    </w:p>
  </w:footnote>
  <w:footnote w:type="continuationSeparator" w:id="0">
    <w:p w:rsidR="00060B5F" w:rsidRDefault="0006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5MTFhY2YyNTQwZDNiMjBkYWJkZjRlZGMyYzNhOTAifQ=="/>
  </w:docVars>
  <w:rsids>
    <w:rsidRoot w:val="005835C2"/>
    <w:rsid w:val="CCEFEFF5"/>
    <w:rsid w:val="D4EDBBF7"/>
    <w:rsid w:val="DC4BE58C"/>
    <w:rsid w:val="DE5733DB"/>
    <w:rsid w:val="DFFF2FE1"/>
    <w:rsid w:val="EBEF4D57"/>
    <w:rsid w:val="EFDFE3AE"/>
    <w:rsid w:val="FB2547C5"/>
    <w:rsid w:val="FB7562EA"/>
    <w:rsid w:val="FEF68AA6"/>
    <w:rsid w:val="FFBF0B87"/>
    <w:rsid w:val="FFCECC7F"/>
    <w:rsid w:val="FFD7FF57"/>
    <w:rsid w:val="FFDF9DC0"/>
    <w:rsid w:val="00060B5F"/>
    <w:rsid w:val="00305919"/>
    <w:rsid w:val="004235E1"/>
    <w:rsid w:val="00543818"/>
    <w:rsid w:val="005835C2"/>
    <w:rsid w:val="005B7234"/>
    <w:rsid w:val="005D1775"/>
    <w:rsid w:val="006C2A11"/>
    <w:rsid w:val="006C5994"/>
    <w:rsid w:val="008E2F1A"/>
    <w:rsid w:val="00AD19EE"/>
    <w:rsid w:val="00BE1545"/>
    <w:rsid w:val="00C8252C"/>
    <w:rsid w:val="00D979D9"/>
    <w:rsid w:val="00E50545"/>
    <w:rsid w:val="00E72659"/>
    <w:rsid w:val="00ED4B47"/>
    <w:rsid w:val="00F304AA"/>
    <w:rsid w:val="00F40F4E"/>
    <w:rsid w:val="00F47408"/>
    <w:rsid w:val="01425E6B"/>
    <w:rsid w:val="0271594B"/>
    <w:rsid w:val="0AF50182"/>
    <w:rsid w:val="0F73799F"/>
    <w:rsid w:val="0FBA3C9A"/>
    <w:rsid w:val="107609B4"/>
    <w:rsid w:val="11632D93"/>
    <w:rsid w:val="11A730DC"/>
    <w:rsid w:val="11D0295E"/>
    <w:rsid w:val="13B071AA"/>
    <w:rsid w:val="1A02204B"/>
    <w:rsid w:val="1E8A395C"/>
    <w:rsid w:val="1F933745"/>
    <w:rsid w:val="25D87F1F"/>
    <w:rsid w:val="266D4357"/>
    <w:rsid w:val="26F9B5F2"/>
    <w:rsid w:val="2C017DFB"/>
    <w:rsid w:val="31623383"/>
    <w:rsid w:val="32A55811"/>
    <w:rsid w:val="35A12E0E"/>
    <w:rsid w:val="379F2140"/>
    <w:rsid w:val="396F64A3"/>
    <w:rsid w:val="3CE6BF60"/>
    <w:rsid w:val="3DFB34EB"/>
    <w:rsid w:val="3EB1710F"/>
    <w:rsid w:val="3FFF9CB3"/>
    <w:rsid w:val="44EC5B34"/>
    <w:rsid w:val="45E16709"/>
    <w:rsid w:val="47B10A89"/>
    <w:rsid w:val="4E377D35"/>
    <w:rsid w:val="552B398D"/>
    <w:rsid w:val="59C31204"/>
    <w:rsid w:val="5AD63FF7"/>
    <w:rsid w:val="5C7EEB2B"/>
    <w:rsid w:val="5CD5091E"/>
    <w:rsid w:val="5EB7978B"/>
    <w:rsid w:val="5FF3D028"/>
    <w:rsid w:val="633E43E9"/>
    <w:rsid w:val="6C45652D"/>
    <w:rsid w:val="6FA5789A"/>
    <w:rsid w:val="6FF17C9A"/>
    <w:rsid w:val="70514307"/>
    <w:rsid w:val="71B92164"/>
    <w:rsid w:val="73FB3F78"/>
    <w:rsid w:val="767D3C3A"/>
    <w:rsid w:val="76DB2D16"/>
    <w:rsid w:val="76DDC442"/>
    <w:rsid w:val="77CF6DBE"/>
    <w:rsid w:val="77CFE873"/>
    <w:rsid w:val="79400D5B"/>
    <w:rsid w:val="79F70570"/>
    <w:rsid w:val="79FF4B07"/>
    <w:rsid w:val="7A6E820D"/>
    <w:rsid w:val="7B33AB3C"/>
    <w:rsid w:val="7B4305C5"/>
    <w:rsid w:val="7D891584"/>
    <w:rsid w:val="7DEEF35B"/>
    <w:rsid w:val="7F9B087C"/>
    <w:rsid w:val="7FB3CED9"/>
    <w:rsid w:val="7FDFA3B1"/>
    <w:rsid w:val="A7975D4A"/>
    <w:rsid w:val="B5FE64E3"/>
    <w:rsid w:val="B63DA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16E9F"/>
  <w15:docId w15:val="{1BA44DBC-6619-49BC-8366-65CEA340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4">
    <w:name w:val="页脚 字符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Company>sheca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中共共青团上海市委员会党组（   ）</dc:title>
  <dc:creator>test001</dc:creator>
  <cp:lastModifiedBy>DELL</cp:lastModifiedBy>
  <cp:revision>4</cp:revision>
  <cp:lastPrinted>2025-03-11T14:48:00Z</cp:lastPrinted>
  <dcterms:created xsi:type="dcterms:W3CDTF">2023-11-16T03:34:00Z</dcterms:created>
  <dcterms:modified xsi:type="dcterms:W3CDTF">2025-03-21T09:02:00Z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90DD25BAD741478F94FADF237A408B60_13</vt:lpwstr>
  </property>
  <property fmtid="{D5CDD505-2E9C-101B-9397-08002B2CF9AE}" pid="4" name="KSOTemplateDocerSaveRecord">
    <vt:lpwstr>eyJoZGlkIjoiYmU3NjdiNDQ2Yzk0MDhlY2JhOGEzYjBiNjk4NThjMzEiLCJ1c2VySWQiOiIxMTgzNTE2MjI3In0=</vt:lpwstr>
  </property>
</Properties>
</file>